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CA54" w14:textId="77777777" w:rsidR="00EC4995" w:rsidRPr="009C19A1" w:rsidRDefault="00EC4995" w:rsidP="00EC4995">
      <w:pPr>
        <w:rPr>
          <w:b/>
          <w:bCs/>
          <w:lang w:val="it-IT"/>
        </w:rPr>
      </w:pPr>
    </w:p>
    <w:p w14:paraId="2023E457" w14:textId="77777777" w:rsidR="00EC4995" w:rsidRPr="009C19A1" w:rsidRDefault="00EC4995" w:rsidP="00EC4995">
      <w:pPr>
        <w:jc w:val="center"/>
        <w:rPr>
          <w:b/>
          <w:bCs/>
          <w:lang w:val="it-IT"/>
        </w:rPr>
      </w:pPr>
      <w:r w:rsidRPr="009C19A1">
        <w:rPr>
          <w:b/>
          <w:bCs/>
          <w:lang w:val="it-IT"/>
        </w:rPr>
        <w:t xml:space="preserve">QUESTO </w:t>
      </w:r>
      <w:proofErr w:type="gramStart"/>
      <w:r w:rsidRPr="009C19A1">
        <w:rPr>
          <w:b/>
          <w:bCs/>
          <w:lang w:val="it-IT"/>
        </w:rPr>
        <w:t>E’</w:t>
      </w:r>
      <w:proofErr w:type="gramEnd"/>
      <w:r w:rsidRPr="009C19A1">
        <w:rPr>
          <w:b/>
          <w:bCs/>
          <w:lang w:val="it-IT"/>
        </w:rPr>
        <w:t xml:space="preserve"> IL TITOLO CENTRATO</w:t>
      </w:r>
    </w:p>
    <w:p w14:paraId="1BFB9FC5" w14:textId="77777777" w:rsidR="00EC4995" w:rsidRPr="009C19A1" w:rsidRDefault="00EC4995" w:rsidP="00EC4995">
      <w:pPr>
        <w:jc w:val="center"/>
        <w:rPr>
          <w:b/>
          <w:bCs/>
          <w:lang w:val="it-IT"/>
        </w:rPr>
      </w:pPr>
      <w:r w:rsidRPr="009C19A1">
        <w:rPr>
          <w:b/>
          <w:bCs/>
          <w:lang w:val="it-IT"/>
        </w:rPr>
        <w:t>TIMES NEW ROMAN 12 GRASSETTO</w:t>
      </w:r>
    </w:p>
    <w:p w14:paraId="1F2D0AF5" w14:textId="77777777" w:rsidR="00EC4995" w:rsidRPr="009C19A1" w:rsidRDefault="00EC4995" w:rsidP="00EC4995">
      <w:pPr>
        <w:jc w:val="center"/>
        <w:rPr>
          <w:lang w:val="it-IT"/>
        </w:rPr>
      </w:pPr>
    </w:p>
    <w:p w14:paraId="1E0A09EF" w14:textId="77777777" w:rsidR="00EC4995" w:rsidRPr="009C19A1" w:rsidRDefault="00EC4995" w:rsidP="00EC4995">
      <w:pPr>
        <w:jc w:val="center"/>
        <w:rPr>
          <w:lang w:val="it-IT"/>
        </w:rPr>
      </w:pPr>
      <w:r w:rsidRPr="009C19A1">
        <w:rPr>
          <w:u w:val="single"/>
          <w:lang w:val="it-IT"/>
        </w:rPr>
        <w:t xml:space="preserve">A. Autore </w:t>
      </w:r>
      <w:proofErr w:type="gramStart"/>
      <w:r w:rsidRPr="009C19A1">
        <w:rPr>
          <w:u w:val="single"/>
          <w:lang w:val="it-IT"/>
        </w:rPr>
        <w:t>1</w:t>
      </w:r>
      <w:r w:rsidRPr="009C19A1">
        <w:rPr>
          <w:lang w:val="it-IT"/>
        </w:rPr>
        <w:t>,</w:t>
      </w:r>
      <w:r w:rsidRPr="009C19A1">
        <w:rPr>
          <w:vertAlign w:val="superscript"/>
          <w:lang w:val="it-IT"/>
        </w:rPr>
        <w:t>‡</w:t>
      </w:r>
      <w:proofErr w:type="gramEnd"/>
      <w:r w:rsidRPr="009C19A1">
        <w:rPr>
          <w:lang w:val="it-IT"/>
        </w:rPr>
        <w:t xml:space="preserve"> B. Autore 2,</w:t>
      </w:r>
      <w:r w:rsidRPr="009C19A1">
        <w:rPr>
          <w:vertAlign w:val="superscript"/>
          <w:lang w:val="it-IT"/>
        </w:rPr>
        <w:t>‡</w:t>
      </w:r>
      <w:r w:rsidRPr="009C19A1">
        <w:rPr>
          <w:lang w:val="it-IT"/>
        </w:rPr>
        <w:t xml:space="preserve"> C. Autore3</w:t>
      </w:r>
      <w:r w:rsidRPr="009C19A1">
        <w:rPr>
          <w:vertAlign w:val="superscript"/>
          <w:lang w:val="it-IT"/>
        </w:rPr>
        <w:t>†</w:t>
      </w:r>
    </w:p>
    <w:p w14:paraId="022BE0C2" w14:textId="77777777" w:rsidR="00EC4995" w:rsidRPr="009C19A1" w:rsidRDefault="00EC4995" w:rsidP="00EC4995">
      <w:pPr>
        <w:jc w:val="center"/>
        <w:rPr>
          <w:vertAlign w:val="superscript"/>
          <w:lang w:val="it-IT"/>
        </w:rPr>
      </w:pPr>
    </w:p>
    <w:p w14:paraId="685A182A" w14:textId="77777777" w:rsidR="00EC4995" w:rsidRPr="00EC4995" w:rsidRDefault="00EC4995" w:rsidP="00EC4995">
      <w:pPr>
        <w:jc w:val="center"/>
        <w:rPr>
          <w:sz w:val="20"/>
          <w:szCs w:val="20"/>
          <w:lang w:val="en-US"/>
        </w:rPr>
      </w:pPr>
      <w:r w:rsidRPr="00EC4995">
        <w:rPr>
          <w:sz w:val="20"/>
          <w:szCs w:val="20"/>
          <w:vertAlign w:val="superscript"/>
          <w:lang w:val="en-US"/>
        </w:rPr>
        <w:t>‡</w:t>
      </w:r>
      <w:r w:rsidRPr="00EC4995">
        <w:rPr>
          <w:sz w:val="20"/>
          <w:szCs w:val="20"/>
          <w:lang w:val="en-US"/>
        </w:rPr>
        <w:t>Dipartimento, Indirizzo (Times New Roman 10) E-mail: ( Times New Roman 10)</w:t>
      </w:r>
    </w:p>
    <w:p w14:paraId="635DEB1C" w14:textId="77777777" w:rsidR="00EC4995" w:rsidRPr="009C19A1" w:rsidRDefault="00EC4995" w:rsidP="00EC4995">
      <w:pPr>
        <w:jc w:val="center"/>
        <w:rPr>
          <w:sz w:val="20"/>
          <w:szCs w:val="20"/>
          <w:lang w:val="it-IT"/>
        </w:rPr>
      </w:pPr>
      <w:r w:rsidRPr="009C19A1">
        <w:rPr>
          <w:sz w:val="20"/>
          <w:szCs w:val="20"/>
          <w:vertAlign w:val="superscript"/>
          <w:lang w:val="it-IT"/>
        </w:rPr>
        <w:t>†</w:t>
      </w:r>
      <w:r w:rsidRPr="009C19A1">
        <w:rPr>
          <w:sz w:val="20"/>
          <w:szCs w:val="20"/>
          <w:lang w:val="it-IT"/>
        </w:rPr>
        <w:t xml:space="preserve">Dipartimento, Indirizzo (Times New Roman 10) </w:t>
      </w:r>
      <w:proofErr w:type="gramStart"/>
      <w:r w:rsidRPr="009C19A1">
        <w:rPr>
          <w:sz w:val="20"/>
          <w:szCs w:val="20"/>
          <w:lang w:val="it-IT"/>
        </w:rPr>
        <w:t>E-mail:…</w:t>
      </w:r>
      <w:proofErr w:type="gramEnd"/>
      <w:r w:rsidRPr="009C19A1">
        <w:rPr>
          <w:sz w:val="20"/>
          <w:szCs w:val="20"/>
          <w:lang w:val="it-IT"/>
        </w:rPr>
        <w:t>………………</w:t>
      </w:r>
    </w:p>
    <w:p w14:paraId="25117893" w14:textId="77777777" w:rsidR="00EC4995" w:rsidRPr="009C19A1" w:rsidRDefault="00EC4995" w:rsidP="00EC4995">
      <w:pPr>
        <w:rPr>
          <w:sz w:val="20"/>
          <w:szCs w:val="20"/>
          <w:lang w:val="it-IT"/>
        </w:rPr>
      </w:pPr>
    </w:p>
    <w:p w14:paraId="2A4B6C5B" w14:textId="77777777" w:rsidR="00EC4995" w:rsidRPr="009C19A1" w:rsidRDefault="00EC4995" w:rsidP="00EC4995">
      <w:pPr>
        <w:rPr>
          <w:rFonts w:ascii="Times" w:hAnsi="Times" w:cs="Times"/>
          <w:lang w:val="it-IT"/>
        </w:rPr>
      </w:pPr>
    </w:p>
    <w:p w14:paraId="2A88A771" w14:textId="77777777" w:rsidR="00EC4995" w:rsidRPr="009C19A1" w:rsidRDefault="00EC4995" w:rsidP="00EC4995">
      <w:pPr>
        <w:ind w:left="180" w:right="125"/>
        <w:rPr>
          <w:lang w:val="it-IT"/>
        </w:rPr>
      </w:pPr>
      <w:r w:rsidRPr="009C19A1">
        <w:rPr>
          <w:lang w:val="it-IT"/>
        </w:rPr>
        <w:t xml:space="preserve">Questo è il testo che </w:t>
      </w:r>
      <w:proofErr w:type="gramStart"/>
      <w:r w:rsidRPr="009C19A1">
        <w:rPr>
          <w:lang w:val="it-IT"/>
        </w:rPr>
        <w:t>deve  avere</w:t>
      </w:r>
      <w:proofErr w:type="gramEnd"/>
      <w:r w:rsidRPr="009C19A1">
        <w:rPr>
          <w:lang w:val="it-IT"/>
        </w:rPr>
        <w:t xml:space="preserve"> una lunghezza massima di 1 pagina. Carattere Times New </w:t>
      </w:r>
      <w:proofErr w:type="gramStart"/>
      <w:r w:rsidRPr="009C19A1">
        <w:rPr>
          <w:lang w:val="it-IT"/>
        </w:rPr>
        <w:t>Roman  12</w:t>
      </w:r>
      <w:proofErr w:type="gramEnd"/>
      <w:r w:rsidRPr="009C19A1">
        <w:rPr>
          <w:lang w:val="it-IT"/>
        </w:rPr>
        <w:t xml:space="preserve">, interlinea singola, margini di 3 cm. Le referenze nel testo devono essere riportate con un numero in parentesi, esempio [1]. Riportare solo 1 o 2 figure in bianco e nero numerate con numeri arabi (esempio, Fig. 1). </w:t>
      </w:r>
    </w:p>
    <w:p w14:paraId="578C5F5C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3F3326F0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286988D9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73B3C77E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52F924BC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3B0312CB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7FF4CF0F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6DB86011" w14:textId="30A0DCF9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  <w:r w:rsidRPr="009C19A1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71E4A48E" wp14:editId="497BE22E">
            <wp:simplePos x="0" y="0"/>
            <wp:positionH relativeFrom="column">
              <wp:posOffset>1143000</wp:posOffset>
            </wp:positionH>
            <wp:positionV relativeFrom="paragraph">
              <wp:posOffset>186690</wp:posOffset>
            </wp:positionV>
            <wp:extent cx="1928495" cy="130619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A627D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21B1280F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245A8857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402D309F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20AF1463" w14:textId="77777777" w:rsidR="00EC4995" w:rsidRPr="009C19A1" w:rsidRDefault="00EC4995" w:rsidP="00EC4995">
      <w:pPr>
        <w:ind w:left="180" w:right="125"/>
        <w:jc w:val="center"/>
        <w:rPr>
          <w:sz w:val="20"/>
          <w:szCs w:val="20"/>
          <w:lang w:val="it-IT"/>
        </w:rPr>
      </w:pPr>
      <w:r w:rsidRPr="009C19A1">
        <w:rPr>
          <w:sz w:val="20"/>
          <w:szCs w:val="20"/>
          <w:lang w:val="it-IT"/>
        </w:rPr>
        <w:t>Fig. 1.  Spettro protonico (600.13 MHz) di un olio di oliva (Times New Roman 10).</w:t>
      </w:r>
    </w:p>
    <w:p w14:paraId="77ADDE85" w14:textId="77777777" w:rsidR="00EC4995" w:rsidRPr="009C19A1" w:rsidRDefault="00EC4995" w:rsidP="00EC4995">
      <w:pPr>
        <w:ind w:left="180" w:right="125"/>
        <w:rPr>
          <w:rFonts w:ascii="Times" w:hAnsi="Times" w:cs="Times"/>
          <w:lang w:val="it-IT"/>
        </w:rPr>
      </w:pPr>
    </w:p>
    <w:p w14:paraId="643E9C3C" w14:textId="77777777" w:rsidR="00EC4995" w:rsidRPr="009C19A1" w:rsidRDefault="00EC4995" w:rsidP="00EC4995">
      <w:pPr>
        <w:ind w:right="125"/>
        <w:rPr>
          <w:lang w:val="it-IT"/>
        </w:rPr>
      </w:pPr>
    </w:p>
    <w:p w14:paraId="50FC96D1" w14:textId="77777777" w:rsidR="00EC4995" w:rsidRPr="009C19A1" w:rsidRDefault="00EC4995" w:rsidP="00EC4995">
      <w:pPr>
        <w:ind w:left="180" w:right="125"/>
      </w:pPr>
      <w:r w:rsidRPr="009C19A1">
        <w:rPr>
          <w:lang w:val="it-IT"/>
        </w:rPr>
        <w:t xml:space="preserve"> </w:t>
      </w:r>
      <w:proofErr w:type="spellStart"/>
      <w:r w:rsidRPr="009C19A1">
        <w:t>Referenze</w:t>
      </w:r>
      <w:proofErr w:type="spellEnd"/>
      <w:r w:rsidRPr="009C19A1">
        <w:t xml:space="preserve"> (Times New Roman 12) </w:t>
      </w:r>
    </w:p>
    <w:p w14:paraId="0532B4C8" w14:textId="77777777" w:rsidR="00EC4995" w:rsidRPr="009C19A1" w:rsidRDefault="00EC4995" w:rsidP="00EC4995">
      <w:pPr>
        <w:ind w:left="180" w:right="125"/>
      </w:pPr>
    </w:p>
    <w:p w14:paraId="054E22DE" w14:textId="77777777" w:rsidR="00EC4995" w:rsidRPr="009C19A1" w:rsidRDefault="00EC4995" w:rsidP="00EC4995">
      <w:pPr>
        <w:ind w:left="180" w:right="125"/>
      </w:pPr>
      <w:r w:rsidRPr="009C19A1">
        <w:rPr>
          <w:sz w:val="20"/>
          <w:szCs w:val="20"/>
        </w:rPr>
        <w:t xml:space="preserve">Times New </w:t>
      </w:r>
      <w:proofErr w:type="gramStart"/>
      <w:r w:rsidRPr="009C19A1">
        <w:rPr>
          <w:sz w:val="20"/>
          <w:szCs w:val="20"/>
        </w:rPr>
        <w:t>Roman  10</w:t>
      </w:r>
      <w:proofErr w:type="gramEnd"/>
      <w:r w:rsidRPr="009C19A1">
        <w:rPr>
          <w:sz w:val="20"/>
          <w:szCs w:val="20"/>
        </w:rPr>
        <w:t xml:space="preserve"> per </w:t>
      </w:r>
      <w:proofErr w:type="spellStart"/>
      <w:r w:rsidRPr="009C19A1">
        <w:rPr>
          <w:sz w:val="20"/>
          <w:szCs w:val="20"/>
        </w:rPr>
        <w:t>ciascuna</w:t>
      </w:r>
      <w:proofErr w:type="spellEnd"/>
      <w:r w:rsidRPr="009C19A1">
        <w:rPr>
          <w:sz w:val="20"/>
          <w:szCs w:val="20"/>
        </w:rPr>
        <w:t xml:space="preserve"> </w:t>
      </w:r>
      <w:proofErr w:type="spellStart"/>
      <w:r w:rsidRPr="009C19A1">
        <w:rPr>
          <w:sz w:val="20"/>
          <w:szCs w:val="20"/>
        </w:rPr>
        <w:t>referenza</w:t>
      </w:r>
      <w:proofErr w:type="spellEnd"/>
    </w:p>
    <w:p w14:paraId="219C59B2" w14:textId="77777777" w:rsidR="00EC4995" w:rsidRPr="009C19A1" w:rsidRDefault="00EC4995" w:rsidP="00EC4995">
      <w:pPr>
        <w:ind w:left="180" w:right="125"/>
        <w:rPr>
          <w:sz w:val="20"/>
          <w:szCs w:val="20"/>
        </w:rPr>
      </w:pPr>
      <w:r w:rsidRPr="009C19A1">
        <w:rPr>
          <w:sz w:val="20"/>
          <w:szCs w:val="20"/>
        </w:rPr>
        <w:t xml:space="preserve">[1] E. M. Purcell, R. V. Pound, and N. Bloembergen </w:t>
      </w:r>
      <w:r w:rsidRPr="009C19A1">
        <w:rPr>
          <w:i/>
          <w:iCs/>
          <w:sz w:val="20"/>
          <w:szCs w:val="20"/>
        </w:rPr>
        <w:t>Phys. Rev.</w:t>
      </w:r>
      <w:r w:rsidRPr="009C19A1">
        <w:rPr>
          <w:sz w:val="20"/>
          <w:szCs w:val="20"/>
        </w:rPr>
        <w:t xml:space="preserve"> </w:t>
      </w:r>
      <w:r w:rsidRPr="009C19A1">
        <w:rPr>
          <w:b/>
          <w:bCs/>
          <w:sz w:val="20"/>
          <w:szCs w:val="20"/>
        </w:rPr>
        <w:t>70</w:t>
      </w:r>
      <w:r w:rsidRPr="009C19A1">
        <w:rPr>
          <w:sz w:val="20"/>
          <w:szCs w:val="20"/>
        </w:rPr>
        <w:t>, 986-987 (1946)</w:t>
      </w:r>
      <w:r w:rsidRPr="009C19A1">
        <w:t xml:space="preserve">  </w:t>
      </w:r>
    </w:p>
    <w:p w14:paraId="0629BA3D" w14:textId="77777777" w:rsidR="00EC4995" w:rsidRDefault="00EC4995" w:rsidP="00EC4995">
      <w:pPr>
        <w:ind w:left="180" w:right="125"/>
        <w:rPr>
          <w:sz w:val="20"/>
          <w:szCs w:val="20"/>
        </w:rPr>
      </w:pPr>
      <w:r w:rsidRPr="009C19A1">
        <w:rPr>
          <w:sz w:val="20"/>
          <w:szCs w:val="20"/>
        </w:rPr>
        <w:t xml:space="preserve">[2] S. Braun, H.-O. Kalinowski, S. Berger, </w:t>
      </w:r>
      <w:r w:rsidRPr="009C19A1">
        <w:rPr>
          <w:i/>
          <w:iCs/>
          <w:sz w:val="20"/>
          <w:szCs w:val="20"/>
        </w:rPr>
        <w:t xml:space="preserve">150 and More Basic Experiments: </w:t>
      </w:r>
      <w:proofErr w:type="gramStart"/>
      <w:r w:rsidRPr="009C19A1">
        <w:rPr>
          <w:i/>
          <w:iCs/>
          <w:sz w:val="20"/>
          <w:szCs w:val="20"/>
        </w:rPr>
        <w:t>a</w:t>
      </w:r>
      <w:proofErr w:type="gramEnd"/>
      <w:r w:rsidRPr="009C19A1">
        <w:rPr>
          <w:i/>
          <w:iCs/>
          <w:sz w:val="20"/>
          <w:szCs w:val="20"/>
        </w:rPr>
        <w:t xml:space="preserve"> Practical NMR</w:t>
      </w:r>
      <w:r w:rsidRPr="009C19A1">
        <w:rPr>
          <w:sz w:val="20"/>
          <w:szCs w:val="20"/>
        </w:rPr>
        <w:t xml:space="preserve"> </w:t>
      </w:r>
      <w:r w:rsidRPr="009C19A1">
        <w:rPr>
          <w:i/>
          <w:iCs/>
          <w:sz w:val="20"/>
          <w:szCs w:val="20"/>
        </w:rPr>
        <w:t>Course</w:t>
      </w:r>
      <w:r w:rsidRPr="009C19A1">
        <w:rPr>
          <w:sz w:val="20"/>
          <w:szCs w:val="20"/>
        </w:rPr>
        <w:t>, Wiley-VCH, Weinheim, 1998.</w:t>
      </w:r>
    </w:p>
    <w:p w14:paraId="4CB9027C" w14:textId="77777777" w:rsidR="004D135B" w:rsidRDefault="004D135B"/>
    <w:sectPr w:rsidR="004D135B" w:rsidSect="00B166C6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95"/>
    <w:rsid w:val="004D135B"/>
    <w:rsid w:val="00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659FF"/>
  <w15:chartTrackingRefBased/>
  <w15:docId w15:val="{9AC9883D-EE74-4583-BD3B-D2FEB177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Batistini</dc:creator>
  <cp:keywords/>
  <dc:description/>
  <cp:lastModifiedBy>Andrea Batistini</cp:lastModifiedBy>
  <cp:revision>1</cp:revision>
  <dcterms:created xsi:type="dcterms:W3CDTF">2022-04-01T12:31:00Z</dcterms:created>
  <dcterms:modified xsi:type="dcterms:W3CDTF">2022-04-01T12:32:00Z</dcterms:modified>
</cp:coreProperties>
</file>